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40"/>
          <w:szCs w:val="40"/>
          <w:u w:val="single"/>
        </w:rPr>
      </w:pPr>
      <w:r w:rsidRPr="004A5325">
        <w:rPr>
          <w:rFonts w:cs="Colonna MT"/>
          <w:b/>
          <w:sz w:val="40"/>
          <w:szCs w:val="40"/>
          <w:u w:val="single"/>
        </w:rPr>
        <w:t>Lesson 3</w:t>
      </w:r>
      <w:r w:rsidR="005917F2" w:rsidRPr="004A5325">
        <w:rPr>
          <w:rFonts w:cs="Colonna MT"/>
          <w:b/>
          <w:sz w:val="40"/>
          <w:szCs w:val="40"/>
          <w:u w:val="single"/>
        </w:rPr>
        <w:t>: Florida Standards</w:t>
      </w:r>
    </w:p>
    <w:p w:rsidR="005917F2" w:rsidRP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</w:rPr>
      </w:pPr>
      <w:r w:rsidRPr="004A5325">
        <w:rPr>
          <w:rFonts w:cs="Colonna MT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-433705</wp:posOffset>
            </wp:positionV>
            <wp:extent cx="1019175" cy="1247775"/>
            <wp:effectExtent l="19050" t="0" r="9525" b="0"/>
            <wp:wrapNone/>
            <wp:docPr id="3" name="Picture 1" descr="http://portal2.fwc.state.fl.us/sites/CR/styleguide/Logos/Logo%20-%20Color/FWClogo2007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2.fwc.state.fl.us/sites/CR/styleguide/Logos/Logo%20-%20Color/FWClogo2007_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4A5325">
        <w:rPr>
          <w:rFonts w:cs="Colonna MT"/>
          <w:b/>
          <w:i/>
          <w:sz w:val="32"/>
          <w:szCs w:val="32"/>
        </w:rPr>
        <w:t xml:space="preserve">Grades 3-5 </w:t>
      </w:r>
    </w:p>
    <w:p w:rsidR="005917F2" w:rsidRPr="004A5325" w:rsidRDefault="005917F2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4A5325">
        <w:rPr>
          <w:rFonts w:cs="Colonna MT"/>
          <w:b/>
          <w:sz w:val="32"/>
          <w:szCs w:val="32"/>
          <w:u w:val="single"/>
        </w:rPr>
        <w:t xml:space="preserve">SOCIAL STUDIES 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SS.3.G.2.4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rFonts w:cs="Cambria Math"/>
          <w:sz w:val="24"/>
          <w:szCs w:val="24"/>
        </w:rPr>
        <w:t xml:space="preserve">Describe the climate and vegetation in the United States, Canada, Mexico, and the Caribbean. </w:t>
      </w:r>
    </w:p>
    <w:p w:rsidR="008B3CAC" w:rsidRPr="004A5325" w:rsidRDefault="008B3CA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SS.3.G.4.1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rFonts w:cs="Cambria Math"/>
          <w:sz w:val="24"/>
          <w:szCs w:val="24"/>
        </w:rPr>
        <w:t xml:space="preserve">Explain how the environment influences settlement patterns in the United States, Canada, Mexico, and the Caribbean. 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SS.3.C.1.3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sz w:val="24"/>
          <w:szCs w:val="24"/>
        </w:rPr>
        <w:t xml:space="preserve">Explain how government </w:t>
      </w:r>
      <w:proofErr w:type="gramStart"/>
      <w:r w:rsidRPr="004A5325">
        <w:rPr>
          <w:sz w:val="24"/>
          <w:szCs w:val="24"/>
        </w:rPr>
        <w:t>was established</w:t>
      </w:r>
      <w:proofErr w:type="gramEnd"/>
      <w:r w:rsidRPr="004A5325">
        <w:rPr>
          <w:sz w:val="24"/>
          <w:szCs w:val="24"/>
        </w:rPr>
        <w:t xml:space="preserve"> through a written Constitution.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SS.3.C.2.1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sz w:val="24"/>
          <w:szCs w:val="24"/>
        </w:rPr>
        <w:t>Identify group and individual actions of citizens that demonstrate civility, cooperation, volunteerism, and other civic virtues.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SS.4.A.2.1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5325">
        <w:rPr>
          <w:sz w:val="24"/>
          <w:szCs w:val="24"/>
        </w:rPr>
        <w:t>Compare Native American tribes in Florida.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SS.4.A.4.1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sz w:val="24"/>
          <w:szCs w:val="24"/>
        </w:rPr>
        <w:t>Describe pioneer life in Florida.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4A5325">
        <w:rPr>
          <w:rFonts w:cs="Colonna MT"/>
          <w:b/>
          <w:sz w:val="32"/>
          <w:szCs w:val="32"/>
          <w:u w:val="single"/>
        </w:rPr>
        <w:t xml:space="preserve">SCIENCE </w:t>
      </w:r>
    </w:p>
    <w:p w:rsidR="008E5E9C" w:rsidRPr="004A5325" w:rsidRDefault="008E5E9C" w:rsidP="008E5E9C">
      <w:pPr>
        <w:pStyle w:val="Default"/>
        <w:rPr>
          <w:rFonts w:asciiTheme="minorHAnsi" w:hAnsiTheme="minorHAnsi"/>
          <w:b/>
          <w:color w:val="auto"/>
        </w:rPr>
      </w:pPr>
      <w:r w:rsidRPr="004A5325">
        <w:rPr>
          <w:rFonts w:asciiTheme="minorHAnsi" w:hAnsiTheme="minorHAnsi"/>
          <w:b/>
          <w:color w:val="auto"/>
        </w:rPr>
        <w:t xml:space="preserve">SC.3.N.1.1 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A5325">
        <w:rPr>
          <w:rFonts w:eastAsia="Times New Roman" w:cs="Times New Roman"/>
          <w:sz w:val="24"/>
          <w:szCs w:val="24"/>
        </w:rPr>
        <w:t>Raise questions about the natural world, investigate them individually and in teams through free exploration and systematic investigations, and generate appropriate explanations based on those explorations.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24"/>
          <w:szCs w:val="24"/>
        </w:rPr>
      </w:pPr>
      <w:r w:rsidRPr="004A5325">
        <w:rPr>
          <w:rFonts w:cs="Colonna MT"/>
          <w:b/>
          <w:sz w:val="24"/>
          <w:szCs w:val="24"/>
        </w:rPr>
        <w:t>SC.4.N.2.1</w:t>
      </w:r>
    </w:p>
    <w:p w:rsidR="008E5E9C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  <w:r w:rsidRPr="004A5325">
        <w:rPr>
          <w:rFonts w:cs="Colonna MT"/>
          <w:sz w:val="24"/>
          <w:szCs w:val="24"/>
        </w:rPr>
        <w:t>Explain that science focuses solely on the natural world.</w:t>
      </w:r>
    </w:p>
    <w:p w:rsid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4A5325" w:rsidRP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5917F2" w:rsidRPr="004A5325" w:rsidRDefault="005917F2" w:rsidP="008E5E9C">
      <w:pPr>
        <w:autoSpaceDE w:val="0"/>
        <w:autoSpaceDN w:val="0"/>
        <w:adjustRightInd w:val="0"/>
        <w:spacing w:after="0" w:line="240" w:lineRule="auto"/>
        <w:rPr>
          <w:rFonts w:cs="Colonna MT"/>
        </w:rPr>
      </w:pPr>
    </w:p>
    <w:p w:rsidR="008E5E9C" w:rsidRPr="004A5325" w:rsidRDefault="007A57FD" w:rsidP="008E5E9C">
      <w:pPr>
        <w:autoSpaceDE w:val="0"/>
        <w:autoSpaceDN w:val="0"/>
        <w:adjustRightInd w:val="0"/>
        <w:spacing w:after="0" w:line="240" w:lineRule="auto"/>
        <w:rPr>
          <w:rFonts w:cs="Colonna MT"/>
          <w:sz w:val="28"/>
          <w:szCs w:val="28"/>
        </w:rPr>
      </w:pPr>
      <w:r w:rsidRPr="004A5325">
        <w:rPr>
          <w:rFonts w:cs="Colonna MT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12.65pt;width:471.75pt;height:0;z-index:251658240" o:connectortype="straight" strokeweight="3pt"/>
        </w:pict>
      </w:r>
    </w:p>
    <w:p w:rsidR="005917F2" w:rsidRPr="004A5325" w:rsidRDefault="005917F2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4A5325">
        <w:rPr>
          <w:rFonts w:cs="Colonna MT"/>
          <w:b/>
          <w:i/>
          <w:sz w:val="32"/>
          <w:szCs w:val="32"/>
        </w:rPr>
        <w:t xml:space="preserve">Grades 6-8 </w:t>
      </w:r>
    </w:p>
    <w:p w:rsidR="005917F2" w:rsidRPr="004A5325" w:rsidRDefault="005917F2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4A5325">
        <w:rPr>
          <w:rFonts w:cs="Colonna MT"/>
          <w:b/>
          <w:sz w:val="32"/>
          <w:szCs w:val="32"/>
          <w:u w:val="single"/>
        </w:rPr>
        <w:t xml:space="preserve">SOCIAL STUDIES 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SS.3.G.1.1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sz w:val="24"/>
          <w:szCs w:val="24"/>
        </w:rPr>
        <w:t>Use thematic maps, tables, charts, graphs, and photos to analyze geographic information.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SS.7.G.2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rFonts w:cs="Cambria Math"/>
          <w:sz w:val="24"/>
          <w:szCs w:val="24"/>
        </w:rPr>
        <w:t xml:space="preserve">Understand how human actions can </w:t>
      </w:r>
      <w:proofErr w:type="gramStart"/>
      <w:r w:rsidRPr="004A5325">
        <w:rPr>
          <w:rFonts w:cs="Cambria Math"/>
          <w:sz w:val="24"/>
          <w:szCs w:val="24"/>
        </w:rPr>
        <w:t>impact</w:t>
      </w:r>
      <w:proofErr w:type="gramEnd"/>
      <w:r w:rsidRPr="004A5325">
        <w:rPr>
          <w:rFonts w:cs="Cambria Math"/>
          <w:sz w:val="24"/>
          <w:szCs w:val="24"/>
        </w:rPr>
        <w:t xml:space="preserve"> the environment.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SS.8.G.5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rFonts w:cs="Cambria Math"/>
          <w:sz w:val="24"/>
          <w:szCs w:val="24"/>
        </w:rPr>
        <w:t xml:space="preserve">Understand how human actions can </w:t>
      </w:r>
      <w:proofErr w:type="gramStart"/>
      <w:r w:rsidRPr="004A5325">
        <w:rPr>
          <w:rFonts w:cs="Cambria Math"/>
          <w:sz w:val="24"/>
          <w:szCs w:val="24"/>
        </w:rPr>
        <w:t>impact</w:t>
      </w:r>
      <w:proofErr w:type="gramEnd"/>
      <w:r w:rsidRPr="004A5325">
        <w:rPr>
          <w:rFonts w:cs="Cambria Math"/>
          <w:sz w:val="24"/>
          <w:szCs w:val="24"/>
        </w:rPr>
        <w:t xml:space="preserve"> the environment.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SS.6.W.1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rFonts w:cs="Cambria Math"/>
          <w:sz w:val="24"/>
          <w:szCs w:val="24"/>
        </w:rPr>
        <w:t xml:space="preserve">Utilize historical inquiry skills and analytical processes. 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4A5325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>
        <w:rPr>
          <w:rFonts w:cs="Cambria Math"/>
          <w:b/>
          <w:sz w:val="24"/>
          <w:szCs w:val="24"/>
        </w:rPr>
        <w:t>SS.8.C</w:t>
      </w:r>
      <w:r w:rsidR="008E5E9C" w:rsidRPr="004A5325">
        <w:rPr>
          <w:rFonts w:cs="Cambria Math"/>
          <w:b/>
          <w:sz w:val="24"/>
          <w:szCs w:val="24"/>
        </w:rPr>
        <w:t>.2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rFonts w:cs="Cambria Math"/>
          <w:sz w:val="24"/>
          <w:szCs w:val="24"/>
        </w:rPr>
        <w:t xml:space="preserve">Evaluate the roles, rights, and responsibilities of United States citizens, and determine methods of active participation in society, government, and the political system. 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4A5325">
        <w:rPr>
          <w:rFonts w:cs="Colonna MT"/>
          <w:b/>
          <w:sz w:val="32"/>
          <w:szCs w:val="32"/>
          <w:u w:val="single"/>
        </w:rPr>
        <w:t xml:space="preserve">SCIENCE </w:t>
      </w:r>
    </w:p>
    <w:p w:rsidR="008E5E9C" w:rsidRPr="004A5325" w:rsidRDefault="008E5E9C" w:rsidP="008E5E9C">
      <w:pPr>
        <w:pStyle w:val="Default"/>
        <w:rPr>
          <w:rFonts w:asciiTheme="minorHAnsi" w:hAnsiTheme="minorHAnsi"/>
          <w:b/>
          <w:color w:val="auto"/>
        </w:rPr>
      </w:pPr>
      <w:r w:rsidRPr="004A5325">
        <w:rPr>
          <w:rFonts w:asciiTheme="minorHAnsi" w:hAnsiTheme="minorHAnsi"/>
          <w:b/>
          <w:color w:val="auto"/>
        </w:rPr>
        <w:t>SC.6.N.1.4</w:t>
      </w:r>
    </w:p>
    <w:p w:rsidR="008E5E9C" w:rsidRPr="004A5325" w:rsidRDefault="008E5E9C" w:rsidP="008E5E9C">
      <w:pPr>
        <w:pStyle w:val="Default"/>
        <w:rPr>
          <w:rStyle w:val="cfontsize"/>
          <w:rFonts w:asciiTheme="minorHAnsi" w:hAnsiTheme="minorHAnsi"/>
          <w:color w:val="auto"/>
        </w:rPr>
      </w:pPr>
      <w:r w:rsidRPr="004A5325">
        <w:rPr>
          <w:rStyle w:val="cfontsize"/>
          <w:rFonts w:asciiTheme="minorHAnsi" w:hAnsiTheme="minorHAnsi"/>
          <w:color w:val="auto"/>
        </w:rPr>
        <w:t>Discuss, compare, and negotiate methods used, results obtained, and explanations among groups of students conducting the same investigation.</w:t>
      </w:r>
    </w:p>
    <w:p w:rsidR="008E5E9C" w:rsidRPr="004A5325" w:rsidRDefault="008E5E9C" w:rsidP="008E5E9C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8E5E9C" w:rsidRPr="004A5325" w:rsidRDefault="008E5E9C" w:rsidP="008E5E9C">
      <w:pPr>
        <w:pStyle w:val="Default"/>
        <w:rPr>
          <w:rFonts w:asciiTheme="minorHAnsi" w:hAnsiTheme="minorHAnsi"/>
          <w:b/>
          <w:color w:val="auto"/>
        </w:rPr>
      </w:pPr>
      <w:r w:rsidRPr="004A5325">
        <w:rPr>
          <w:rFonts w:asciiTheme="minorHAnsi" w:hAnsiTheme="minorHAnsi"/>
          <w:b/>
          <w:color w:val="auto"/>
        </w:rPr>
        <w:t>SC.7.N.2.1</w:t>
      </w:r>
    </w:p>
    <w:p w:rsidR="008E5E9C" w:rsidRPr="004A5325" w:rsidRDefault="008E5E9C" w:rsidP="008E5E9C">
      <w:pPr>
        <w:pStyle w:val="Default"/>
        <w:rPr>
          <w:rFonts w:asciiTheme="minorHAnsi" w:hAnsiTheme="minorHAnsi"/>
          <w:color w:val="auto"/>
        </w:rPr>
      </w:pPr>
      <w:r w:rsidRPr="004A5325">
        <w:rPr>
          <w:rStyle w:val="cfontsize"/>
          <w:rFonts w:asciiTheme="minorHAnsi" w:hAnsiTheme="minorHAnsi"/>
          <w:color w:val="auto"/>
        </w:rPr>
        <w:t xml:space="preserve">Identify an instance from the history of science in which scientific knowledge has changed when new evidence or new interpretations </w:t>
      </w:r>
      <w:proofErr w:type="gramStart"/>
      <w:r w:rsidRPr="004A5325">
        <w:rPr>
          <w:rStyle w:val="cfontsize"/>
          <w:rFonts w:asciiTheme="minorHAnsi" w:hAnsiTheme="minorHAnsi"/>
          <w:color w:val="auto"/>
        </w:rPr>
        <w:t>are encountered</w:t>
      </w:r>
      <w:proofErr w:type="gramEnd"/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4A5325">
        <w:rPr>
          <w:rFonts w:cs="Cambria Math"/>
          <w:b/>
          <w:sz w:val="24"/>
          <w:szCs w:val="24"/>
        </w:rPr>
        <w:t>SC.8.N.4.1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4A5325">
        <w:rPr>
          <w:rFonts w:cs="Cambria Math"/>
          <w:sz w:val="24"/>
          <w:szCs w:val="24"/>
        </w:rPr>
        <w:t xml:space="preserve">Explain that science is one of the processes that can be used to inform decision making at the community, state, national, and international levels. </w:t>
      </w:r>
    </w:p>
    <w:p w:rsidR="008E5E9C" w:rsidRPr="004A5325" w:rsidRDefault="008E5E9C" w:rsidP="008E5E9C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8E5E9C" w:rsidRPr="004A5325" w:rsidRDefault="008E5E9C" w:rsidP="008E5E9C">
      <w:pPr>
        <w:pStyle w:val="NoSpacing"/>
        <w:rPr>
          <w:b/>
          <w:sz w:val="24"/>
          <w:szCs w:val="24"/>
        </w:rPr>
      </w:pPr>
      <w:r w:rsidRPr="004A5325">
        <w:rPr>
          <w:b/>
          <w:sz w:val="24"/>
          <w:szCs w:val="24"/>
        </w:rPr>
        <w:t>SC.6.E.6.1</w:t>
      </w:r>
    </w:p>
    <w:p w:rsidR="004A5325" w:rsidRPr="004A5325" w:rsidRDefault="008E5E9C" w:rsidP="008B3CAC">
      <w:pPr>
        <w:pStyle w:val="NoSpacing"/>
        <w:rPr>
          <w:rStyle w:val="cfontsize"/>
          <w:sz w:val="24"/>
          <w:szCs w:val="24"/>
        </w:rPr>
      </w:pPr>
      <w:r w:rsidRPr="004A5325">
        <w:rPr>
          <w:rStyle w:val="cfontsize"/>
          <w:sz w:val="24"/>
          <w:szCs w:val="24"/>
        </w:rPr>
        <w:t xml:space="preserve">Describe and give examples of ways in which Earth's surface </w:t>
      </w:r>
      <w:proofErr w:type="gramStart"/>
      <w:r w:rsidRPr="004A5325">
        <w:rPr>
          <w:rStyle w:val="cfontsize"/>
          <w:sz w:val="24"/>
          <w:szCs w:val="24"/>
        </w:rPr>
        <w:t>is built up and torn down by physical and chemical weathering, erosion, and deposition</w:t>
      </w:r>
      <w:proofErr w:type="gramEnd"/>
      <w:r w:rsidR="008B3CAC" w:rsidRPr="004A5325">
        <w:rPr>
          <w:rStyle w:val="cfontsize"/>
          <w:sz w:val="24"/>
          <w:szCs w:val="24"/>
        </w:rPr>
        <w:t>.</w:t>
      </w:r>
    </w:p>
    <w:p w:rsidR="004A5325" w:rsidRDefault="004A5325" w:rsidP="008B3CAC">
      <w:pPr>
        <w:pStyle w:val="NoSpacing"/>
        <w:rPr>
          <w:rStyle w:val="cfontsize"/>
          <w:color w:val="FF0000"/>
          <w:sz w:val="24"/>
          <w:szCs w:val="24"/>
        </w:rPr>
      </w:pPr>
    </w:p>
    <w:p w:rsidR="004A5325" w:rsidRDefault="004A5325" w:rsidP="008B3CAC">
      <w:pPr>
        <w:pStyle w:val="NoSpacing"/>
        <w:rPr>
          <w:rStyle w:val="cfontsize"/>
          <w:color w:val="FF0000"/>
          <w:sz w:val="24"/>
          <w:szCs w:val="24"/>
        </w:rPr>
      </w:pPr>
    </w:p>
    <w:p w:rsidR="004A5325" w:rsidRPr="004A5325" w:rsidRDefault="004A5325" w:rsidP="008B3CAC">
      <w:pPr>
        <w:pStyle w:val="NoSpacing"/>
        <w:rPr>
          <w:color w:val="FF0000"/>
          <w:sz w:val="24"/>
          <w:szCs w:val="24"/>
        </w:rPr>
      </w:pPr>
      <w:r w:rsidRPr="00237AB7">
        <w:rPr>
          <w:rStyle w:val="cfontsize"/>
          <w:i/>
          <w:sz w:val="18"/>
          <w:szCs w:val="18"/>
        </w:rPr>
        <w:t>Resources: CPALMS.org and FLStandards.org; July 2014.</w:t>
      </w:r>
    </w:p>
    <w:sectPr w:rsidR="004A5325" w:rsidRPr="004A5325" w:rsidSect="00782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DA" w:rsidRDefault="008608DA" w:rsidP="005917F2">
      <w:pPr>
        <w:spacing w:after="0" w:line="240" w:lineRule="auto"/>
      </w:pPr>
      <w:r>
        <w:separator/>
      </w:r>
    </w:p>
  </w:endnote>
  <w:endnote w:type="continuationSeparator" w:id="0">
    <w:p w:rsidR="008608DA" w:rsidRDefault="008608DA" w:rsidP="0059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harter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2" w:rsidRDefault="00591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2" w:rsidRDefault="005917F2" w:rsidP="005917F2">
    <w:pPr>
      <w:pStyle w:val="Footer"/>
      <w:jc w:val="center"/>
      <w:rPr>
        <w:rFonts w:ascii="Charter BT" w:hAnsi="Charter BT"/>
        <w:noProof/>
        <w:color w:val="BFBFBF" w:themeColor="background1" w:themeShade="BF"/>
        <w:sz w:val="24"/>
        <w:szCs w:val="24"/>
      </w:rPr>
    </w:pPr>
    <w:r w:rsidRPr="00A7794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41275</wp:posOffset>
          </wp:positionV>
          <wp:extent cx="457200" cy="561975"/>
          <wp:effectExtent l="19050" t="0" r="0" b="0"/>
          <wp:wrapNone/>
          <wp:docPr id="10" name="Picture 1" descr="http://portal2.fwc.state.fl.us/sites/CR/styleguide/Logos/Logo%20-%20Color/FWClogo2007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2.fwc.state.fl.us/sites/CR/styleguide/Logos/Logo%20-%20Color/FWClogo2007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75402195"/>
        <w:docPartObj>
          <w:docPartGallery w:val="Page Numbers (Bottom of Page)"/>
          <w:docPartUnique/>
        </w:docPartObj>
      </w:sdtPr>
      <w:sdtContent>
        <w:r w:rsidR="007A57FD">
          <w:rPr>
            <w:rFonts w:ascii="Charter BT" w:hAnsi="Charter BT"/>
            <w:noProof/>
            <w:color w:val="BFBFBF" w:themeColor="background1" w:themeShade="BF"/>
            <w:sz w:val="24"/>
            <w:szCs w:val="24"/>
            <w:lang w:eastAsia="zh-TW"/>
          </w:rPr>
          <w:pict>
            <v:rect id="_x0000_s3073" style="position:absolute;left:0;text-align:left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917F2" w:rsidRDefault="007A57FD" w:rsidP="005917F2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0003C1" w:rsidRPr="000003C1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A77945">
      <w:rPr>
        <w:color w:val="BFBFBF" w:themeColor="background1" w:themeShade="BF"/>
      </w:rPr>
      <w:t xml:space="preserve"> </w:t>
    </w:r>
    <w:sdt>
      <w:sdtPr>
        <w:rPr>
          <w:color w:val="BFBFBF" w:themeColor="background1" w:themeShade="BF"/>
        </w:rPr>
        <w:id w:val="3727957"/>
        <w:docPartObj>
          <w:docPartGallery w:val="Page Numbers (Bottom of Page)"/>
          <w:docPartUnique/>
        </w:docPartObj>
      </w:sdtPr>
      <w:sdtContent>
        <w:r w:rsidR="007A57FD" w:rsidRPr="007A57FD">
          <w:rPr>
            <w:noProof/>
            <w:color w:val="BFBFBF" w:themeColor="background1" w:themeShade="BF"/>
            <w:lang w:eastAsia="zh-TW"/>
          </w:rPr>
          <w:pict>
            <v:rect id="_x0000_s3074" style="position:absolute;left:0;text-align:left;margin-left:0;margin-top:0;width:60pt;height:70.5pt;z-index:251662336;mso-position-horizontal:center;mso-position-horizontal-relative:right-margin-area;mso-position-vertical:top;mso-position-vertical-relative:bottom-margin-area" stroked="f">
              <v:textbox style="mso-next-textbox:#_x0000_s3074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7540219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754021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917F2" w:rsidRDefault="007A57FD" w:rsidP="005917F2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0003C1" w:rsidRPr="000003C1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9A7AD0">
      <w:rPr>
        <w:rFonts w:ascii="Charter BT" w:hAnsi="Charter BT"/>
        <w:noProof/>
        <w:color w:val="BFBFBF" w:themeColor="background1" w:themeShade="BF"/>
        <w:sz w:val="24"/>
        <w:szCs w:val="24"/>
      </w:rPr>
      <w:t xml:space="preserve"> </w:t>
    </w:r>
  </w:p>
  <w:p w:rsidR="005917F2" w:rsidRPr="009A7AD0" w:rsidRDefault="005917F2" w:rsidP="005917F2">
    <w:pPr>
      <w:pStyle w:val="Footer"/>
      <w:jc w:val="center"/>
      <w:rPr>
        <w:color w:val="BFBFBF" w:themeColor="background1" w:themeShade="BF"/>
      </w:rPr>
    </w:pPr>
    <w:r w:rsidRPr="009A7AD0">
      <w:rPr>
        <w:rFonts w:ascii="Charter BT" w:hAnsi="Charter BT"/>
        <w:color w:val="BFBFBF" w:themeColor="background1" w:themeShade="BF"/>
        <w:sz w:val="24"/>
        <w:szCs w:val="24"/>
      </w:rPr>
      <w:t>The Florida Black Bear Curriculum Guide</w:t>
    </w:r>
  </w:p>
  <w:p w:rsidR="005917F2" w:rsidRPr="00A77945" w:rsidRDefault="005917F2" w:rsidP="005917F2">
    <w:pPr>
      <w:pStyle w:val="Footer"/>
    </w:pPr>
  </w:p>
  <w:p w:rsidR="005917F2" w:rsidRDefault="00591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2" w:rsidRDefault="00591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DA" w:rsidRDefault="008608DA" w:rsidP="005917F2">
      <w:pPr>
        <w:spacing w:after="0" w:line="240" w:lineRule="auto"/>
      </w:pPr>
      <w:r>
        <w:separator/>
      </w:r>
    </w:p>
  </w:footnote>
  <w:footnote w:type="continuationSeparator" w:id="0">
    <w:p w:rsidR="008608DA" w:rsidRDefault="008608DA" w:rsidP="0059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2" w:rsidRDefault="00591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2" w:rsidRDefault="005917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2" w:rsidRDefault="005917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40A9"/>
    <w:rsid w:val="000003C1"/>
    <w:rsid w:val="00003CD0"/>
    <w:rsid w:val="0001631B"/>
    <w:rsid w:val="000440A9"/>
    <w:rsid w:val="0005657E"/>
    <w:rsid w:val="000A14A6"/>
    <w:rsid w:val="000A5D84"/>
    <w:rsid w:val="000B4B39"/>
    <w:rsid w:val="000C2983"/>
    <w:rsid w:val="000C342E"/>
    <w:rsid w:val="000C56E9"/>
    <w:rsid w:val="000D161E"/>
    <w:rsid w:val="001011DF"/>
    <w:rsid w:val="00115B7A"/>
    <w:rsid w:val="001221DB"/>
    <w:rsid w:val="0013396E"/>
    <w:rsid w:val="00172C56"/>
    <w:rsid w:val="00173990"/>
    <w:rsid w:val="001859F0"/>
    <w:rsid w:val="00192004"/>
    <w:rsid w:val="001D125B"/>
    <w:rsid w:val="001D45C0"/>
    <w:rsid w:val="001F1A08"/>
    <w:rsid w:val="00231AA5"/>
    <w:rsid w:val="00242260"/>
    <w:rsid w:val="00242CA4"/>
    <w:rsid w:val="0026554B"/>
    <w:rsid w:val="002C3A72"/>
    <w:rsid w:val="002C4157"/>
    <w:rsid w:val="002D2AFF"/>
    <w:rsid w:val="00310802"/>
    <w:rsid w:val="0031615E"/>
    <w:rsid w:val="00347652"/>
    <w:rsid w:val="00350CBE"/>
    <w:rsid w:val="0035313D"/>
    <w:rsid w:val="003800ED"/>
    <w:rsid w:val="003922C3"/>
    <w:rsid w:val="003C6317"/>
    <w:rsid w:val="003E0697"/>
    <w:rsid w:val="003F3B21"/>
    <w:rsid w:val="003F577C"/>
    <w:rsid w:val="00451690"/>
    <w:rsid w:val="00474CE1"/>
    <w:rsid w:val="00480024"/>
    <w:rsid w:val="00480B5D"/>
    <w:rsid w:val="0049603E"/>
    <w:rsid w:val="004A5325"/>
    <w:rsid w:val="004A7682"/>
    <w:rsid w:val="004D12A6"/>
    <w:rsid w:val="0050160D"/>
    <w:rsid w:val="00503D7C"/>
    <w:rsid w:val="00514E38"/>
    <w:rsid w:val="00540371"/>
    <w:rsid w:val="00544C78"/>
    <w:rsid w:val="00590BA5"/>
    <w:rsid w:val="005917F2"/>
    <w:rsid w:val="005A1041"/>
    <w:rsid w:val="005C31B7"/>
    <w:rsid w:val="005C331F"/>
    <w:rsid w:val="005C37ED"/>
    <w:rsid w:val="00625A89"/>
    <w:rsid w:val="00626D82"/>
    <w:rsid w:val="00635FE2"/>
    <w:rsid w:val="00637DBE"/>
    <w:rsid w:val="00654FA5"/>
    <w:rsid w:val="00692602"/>
    <w:rsid w:val="006C06BF"/>
    <w:rsid w:val="006D552B"/>
    <w:rsid w:val="006E2160"/>
    <w:rsid w:val="006E3F31"/>
    <w:rsid w:val="006E4D96"/>
    <w:rsid w:val="006E6C37"/>
    <w:rsid w:val="006F6399"/>
    <w:rsid w:val="00707364"/>
    <w:rsid w:val="00733151"/>
    <w:rsid w:val="00746C68"/>
    <w:rsid w:val="007504F9"/>
    <w:rsid w:val="0077153A"/>
    <w:rsid w:val="0078230D"/>
    <w:rsid w:val="00786A3B"/>
    <w:rsid w:val="007909AE"/>
    <w:rsid w:val="007A57FD"/>
    <w:rsid w:val="007B25CE"/>
    <w:rsid w:val="007B397A"/>
    <w:rsid w:val="007B5C00"/>
    <w:rsid w:val="007D28D1"/>
    <w:rsid w:val="007D7B4D"/>
    <w:rsid w:val="007F26BC"/>
    <w:rsid w:val="008608DA"/>
    <w:rsid w:val="008779E1"/>
    <w:rsid w:val="008A7642"/>
    <w:rsid w:val="008B3CAC"/>
    <w:rsid w:val="008D2BDB"/>
    <w:rsid w:val="008E5E9C"/>
    <w:rsid w:val="00956C28"/>
    <w:rsid w:val="009621C2"/>
    <w:rsid w:val="0096553B"/>
    <w:rsid w:val="009967D5"/>
    <w:rsid w:val="009D4377"/>
    <w:rsid w:val="009E18F7"/>
    <w:rsid w:val="00A21048"/>
    <w:rsid w:val="00A31F6F"/>
    <w:rsid w:val="00A349FF"/>
    <w:rsid w:val="00A50600"/>
    <w:rsid w:val="00A52960"/>
    <w:rsid w:val="00AA0241"/>
    <w:rsid w:val="00AA31FE"/>
    <w:rsid w:val="00AB7C20"/>
    <w:rsid w:val="00AC692E"/>
    <w:rsid w:val="00AC72F2"/>
    <w:rsid w:val="00AE4C85"/>
    <w:rsid w:val="00AE55F4"/>
    <w:rsid w:val="00AF3688"/>
    <w:rsid w:val="00B043B4"/>
    <w:rsid w:val="00B147C1"/>
    <w:rsid w:val="00B16B62"/>
    <w:rsid w:val="00B25FA4"/>
    <w:rsid w:val="00B42EF1"/>
    <w:rsid w:val="00B46059"/>
    <w:rsid w:val="00B46DD1"/>
    <w:rsid w:val="00B758F6"/>
    <w:rsid w:val="00B85AC9"/>
    <w:rsid w:val="00B93637"/>
    <w:rsid w:val="00BA71BD"/>
    <w:rsid w:val="00BB08E8"/>
    <w:rsid w:val="00BB59A3"/>
    <w:rsid w:val="00BC0E68"/>
    <w:rsid w:val="00BC498B"/>
    <w:rsid w:val="00BF20CE"/>
    <w:rsid w:val="00C12537"/>
    <w:rsid w:val="00C5724F"/>
    <w:rsid w:val="00C70D59"/>
    <w:rsid w:val="00CA4406"/>
    <w:rsid w:val="00CC0B63"/>
    <w:rsid w:val="00CC193B"/>
    <w:rsid w:val="00CD1C90"/>
    <w:rsid w:val="00CD6C16"/>
    <w:rsid w:val="00D23146"/>
    <w:rsid w:val="00D26B63"/>
    <w:rsid w:val="00D31106"/>
    <w:rsid w:val="00D84C16"/>
    <w:rsid w:val="00DE0067"/>
    <w:rsid w:val="00DF059E"/>
    <w:rsid w:val="00E011EB"/>
    <w:rsid w:val="00E50711"/>
    <w:rsid w:val="00E57E08"/>
    <w:rsid w:val="00E653A7"/>
    <w:rsid w:val="00E71677"/>
    <w:rsid w:val="00E71A9C"/>
    <w:rsid w:val="00E756FB"/>
    <w:rsid w:val="00EB0023"/>
    <w:rsid w:val="00ED2ACA"/>
    <w:rsid w:val="00ED2E17"/>
    <w:rsid w:val="00F027D9"/>
    <w:rsid w:val="00F874D5"/>
    <w:rsid w:val="00F904B4"/>
    <w:rsid w:val="00FB1483"/>
    <w:rsid w:val="00FB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A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cfontsize">
    <w:name w:val="cfontsize"/>
    <w:basedOn w:val="DefaultParagraphFont"/>
    <w:rsid w:val="000440A9"/>
  </w:style>
  <w:style w:type="character" w:styleId="Hyperlink">
    <w:name w:val="Hyperlink"/>
    <w:basedOn w:val="DefaultParagraphFont"/>
    <w:uiPriority w:val="99"/>
    <w:semiHidden/>
    <w:unhideWhenUsed/>
    <w:rsid w:val="000440A9"/>
    <w:rPr>
      <w:color w:val="0000FF"/>
      <w:u w:val="single"/>
    </w:rPr>
  </w:style>
  <w:style w:type="paragraph" w:styleId="NoSpacing">
    <w:name w:val="No Spacing"/>
    <w:uiPriority w:val="1"/>
    <w:qFormat/>
    <w:rsid w:val="008E5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7F2"/>
  </w:style>
  <w:style w:type="paragraph" w:styleId="Footer">
    <w:name w:val="footer"/>
    <w:basedOn w:val="Normal"/>
    <w:link w:val="FooterChar"/>
    <w:uiPriority w:val="99"/>
    <w:semiHidden/>
    <w:unhideWhenUsed/>
    <w:rsid w:val="0059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D055D0D27141ADCAA74369D01F93" ma:contentTypeVersion="6" ma:contentTypeDescription="Create a new document." ma:contentTypeScope="" ma:versionID="6cc723caac67cea9eb13e5f26ff5cf7f">
  <xsd:schema xmlns:xsd="http://www.w3.org/2001/XMLSchema" xmlns:xs="http://www.w3.org/2001/XMLSchema" xmlns:p="http://schemas.microsoft.com/office/2006/metadata/properties" xmlns:ns2="5e97fdb8-0e33-4f0b-8559-ce199a948dfa" xmlns:ns3="http://schemas.microsoft.com/sharepoint/v4" targetNamespace="http://schemas.microsoft.com/office/2006/metadata/properties" ma:root="true" ma:fieldsID="3319136ec9d27c8c5931b5447902f436" ns2:_="" ns3:_="">
    <xsd:import namespace="5e97fdb8-0e33-4f0b-8559-ce199a948d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fdb8-0e33-4f0b-8559-ce199a948d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8943367-08ad-4470-8f44-b4c2eef232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716f0f9-831c-4725-80e5-38f185ffc45d}" ma:internalName="TaxCatchAll" ma:showField="CatchAllData" ma:web="5e97fdb8-0e33-4f0b-8559-ce199a948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97fdb8-0e33-4f0b-8559-ce199a948dfa">TEAMS-36-22829</_dlc_DocId>
    <_dlc_DocIdUrl xmlns="5e97fdb8-0e33-4f0b-8559-ce199a948dfa">
      <Url>http://portal2/sites/teams/bear/_layouts/DocIdRedir.aspx?ID=TEAMS-36-22829</Url>
      <Description>TEAMS-36-22829</Description>
    </_dlc_DocIdUrl>
    <IconOverlay xmlns="http://schemas.microsoft.com/sharepoint/v4" xsi:nil="true"/>
    <TaxCatchAll xmlns="5e97fdb8-0e33-4f0b-8559-ce199a948dfa"/>
    <TaxKeywordTaxHTField xmlns="5e97fdb8-0e33-4f0b-8559-ce199a948df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A10AC3D-438B-4FD5-8B2C-9B0700D05E2B}"/>
</file>

<file path=customXml/itemProps2.xml><?xml version="1.0" encoding="utf-8"?>
<ds:datastoreItem xmlns:ds="http://schemas.openxmlformats.org/officeDocument/2006/customXml" ds:itemID="{CDF1CCF3-DB8F-4617-BE54-BF272B68702B}"/>
</file>

<file path=customXml/itemProps3.xml><?xml version="1.0" encoding="utf-8"?>
<ds:datastoreItem xmlns:ds="http://schemas.openxmlformats.org/officeDocument/2006/customXml" ds:itemID="{38AD9B28-ABD1-41FE-A3B6-44DCC9124184}"/>
</file>

<file path=customXml/itemProps4.xml><?xml version="1.0" encoding="utf-8"?>
<ds:datastoreItem xmlns:ds="http://schemas.openxmlformats.org/officeDocument/2006/customXml" ds:itemID="{A4F4E6F7-5ABD-4635-8991-4C49E135E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sarah.barrett</dc:creator>
  <cp:lastModifiedBy>sarah.barrett</cp:lastModifiedBy>
  <cp:revision>5</cp:revision>
  <dcterms:created xsi:type="dcterms:W3CDTF">2014-08-06T16:12:00Z</dcterms:created>
  <dcterms:modified xsi:type="dcterms:W3CDTF">2014-08-06T17:40:00Z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d3c21666-69fe-4929-af22-02c7bfd2685d</vt:lpwstr>
  </property>
  <property fmtid="{D5CDD505-2E9C-101B-9397-08002B2CF9AE}" pid="3" name="ContentTypeId">
    <vt:lpwstr>0x0101003C81D055D0D27141ADCAA74369D01F93</vt:lpwstr>
  </property>
  <property fmtid="{D5CDD505-2E9C-101B-9397-08002B2CF9AE}" pid="4" name="TaxKeyword">
    <vt:lpwstr/>
  </property>
</Properties>
</file>